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89" w:rsidRDefault="009E1789" w:rsidP="007D630D">
      <w:pPr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                                                                     </w:t>
      </w:r>
    </w:p>
    <w:p w:rsidR="009E1789" w:rsidRPr="003815BB" w:rsidRDefault="009E1789">
      <w:pPr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維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護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合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約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書</w:t>
      </w:r>
      <w:r w:rsidR="009248D9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（範本）</w:t>
      </w:r>
    </w:p>
    <w:p w:rsidR="009E1789" w:rsidRPr="003E3B34" w:rsidRDefault="009E1789">
      <w:pPr>
        <w:jc w:val="center"/>
        <w:rPr>
          <w:rFonts w:ascii="標楷體" w:eastAsia="標楷體" w:hAnsi="標楷體"/>
          <w:b/>
          <w:bCs/>
          <w:color w:val="000000"/>
        </w:rPr>
      </w:pPr>
    </w:p>
    <w:p w:rsidR="009E1789" w:rsidRPr="003E3B34" w:rsidRDefault="009E1789" w:rsidP="003815BB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815B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</w:t>
      </w:r>
      <w:r w:rsidRPr="003E3B3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甲方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佛光</w:t>
      </w:r>
      <w:r w:rsidRPr="003E3B3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大學</w:t>
      </w:r>
    </w:p>
    <w:p w:rsidR="009E1789" w:rsidRPr="003E3B34" w:rsidRDefault="009E1789" w:rsidP="003E3B34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3E3B34">
        <w:rPr>
          <w:rFonts w:ascii="標楷體" w:eastAsia="標楷體" w:hAnsi="標楷體" w:hint="eastAsia"/>
          <w:bCs/>
          <w:color w:val="000000"/>
        </w:rPr>
        <w:t>立合約書人:</w:t>
      </w:r>
    </w:p>
    <w:p w:rsidR="009E1789" w:rsidRDefault="009E1789" w:rsidP="009E1789">
      <w:pPr>
        <w:spacing w:line="0" w:lineRule="atLeast"/>
        <w:rPr>
          <w:rFonts w:ascii="標楷體" w:eastAsia="標楷體" w:hAnsi="標楷體"/>
          <w:b/>
          <w:bCs/>
          <w:color w:val="FF0000"/>
          <w:sz w:val="28"/>
        </w:rPr>
      </w:pPr>
      <w:r w:rsidRPr="003815B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</w:t>
      </w:r>
      <w:r w:rsidRPr="003E3B3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乙方  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3E3B34" w:rsidRDefault="009E1789" w:rsidP="009E1789">
      <w:pPr>
        <w:spacing w:line="0" w:lineRule="atLeast"/>
        <w:rPr>
          <w:rFonts w:ascii="標楷體" w:eastAsia="標楷體" w:hAnsi="標楷體" w:cs="Arial"/>
        </w:rPr>
      </w:pPr>
      <w:r w:rsidRPr="003E3B34">
        <w:rPr>
          <w:rFonts w:ascii="標楷體" w:eastAsia="標楷體" w:hAnsi="標楷體" w:hint="eastAsia"/>
          <w:color w:val="000000"/>
        </w:rPr>
        <w:t>茲因乙方提供甲方電腦應用軟體系統維護服務，</w:t>
      </w:r>
      <w:r w:rsidRPr="003E3B34">
        <w:rPr>
          <w:rFonts w:ascii="標楷體" w:eastAsia="標楷體" w:hAnsi="標楷體"/>
          <w:color w:val="000000"/>
        </w:rPr>
        <w:t>雙方同意並基於平等互惠之原則</w:t>
      </w:r>
      <w:r w:rsidRPr="003E3B34">
        <w:rPr>
          <w:rFonts w:ascii="標楷體" w:eastAsia="標楷體" w:hAnsi="標楷體" w:hint="eastAsia"/>
          <w:color w:val="000000"/>
        </w:rPr>
        <w:t>訂定本契約，共同遵守，其條款如下：</w:t>
      </w:r>
    </w:p>
    <w:p w:rsidR="009E1789" w:rsidRPr="003E3B34" w:rsidRDefault="009E1789" w:rsidP="009C5E3B">
      <w:pPr>
        <w:spacing w:line="0" w:lineRule="atLeast"/>
        <w:ind w:rightChars="-28" w:right="-67"/>
        <w:rPr>
          <w:rFonts w:ascii="標楷體" w:eastAsia="標楷體" w:hAnsi="標楷體" w:cs="Arial"/>
        </w:rPr>
      </w:pPr>
    </w:p>
    <w:p w:rsidR="009E1789" w:rsidRPr="003E3B34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第一條：標的物</w:t>
      </w:r>
    </w:p>
    <w:p w:rsidR="009E1789" w:rsidRPr="003E3B34" w:rsidRDefault="009E1789" w:rsidP="009C5E3B">
      <w:pPr>
        <w:snapToGrid w:val="0"/>
        <w:spacing w:line="360" w:lineRule="auto"/>
        <w:ind w:leftChars="350"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本合約維護標的物係</w:t>
      </w:r>
      <w:proofErr w:type="gramStart"/>
      <w:r w:rsidRPr="003E3B34">
        <w:rPr>
          <w:rFonts w:ascii="標楷體" w:eastAsia="標楷體" w:hAnsi="標楷體" w:hint="eastAsia"/>
          <w:color w:val="000000"/>
        </w:rPr>
        <w:t>指甲方委由</w:t>
      </w:r>
      <w:proofErr w:type="gramEnd"/>
      <w:r w:rsidRPr="003E3B34">
        <w:rPr>
          <w:rFonts w:ascii="標楷體" w:eastAsia="標楷體" w:hAnsi="標楷體" w:hint="eastAsia"/>
          <w:color w:val="000000"/>
        </w:rPr>
        <w:t>乙方開發之「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  <w:r w:rsidRPr="003E3B34">
        <w:rPr>
          <w:rFonts w:ascii="標楷體" w:eastAsia="標楷體" w:hAnsi="標楷體" w:hint="eastAsia"/>
          <w:color w:val="000000"/>
        </w:rPr>
        <w:t>」（以下簡稱本系統）。</w:t>
      </w:r>
    </w:p>
    <w:p w:rsidR="009E1789" w:rsidRPr="003E3B34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第二條：維護範圍及內容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>一、電話諮詢，</w:t>
      </w:r>
      <w:proofErr w:type="gramStart"/>
      <w:r w:rsidRPr="004017AD">
        <w:rPr>
          <w:rFonts w:ascii="標楷體" w:eastAsia="標楷體" w:hAnsi="標楷體" w:cs="Arial" w:hint="eastAsia"/>
        </w:rPr>
        <w:t>線上即時</w:t>
      </w:r>
      <w:proofErr w:type="gramEnd"/>
      <w:r w:rsidRPr="004017AD">
        <w:rPr>
          <w:rFonts w:ascii="標楷體" w:eastAsia="標楷體" w:hAnsi="標楷體" w:cs="Arial" w:hint="eastAsia"/>
        </w:rPr>
        <w:t>服務：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 *本系統基本操作解說。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 *本系統環境基本設定解說。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>二、Q&amp;A傳真</w:t>
      </w:r>
      <w:r>
        <w:rPr>
          <w:rFonts w:ascii="標楷體" w:hAnsi="標楷體" w:hint="eastAsia"/>
          <w:bCs/>
          <w:color w:val="000000"/>
        </w:rPr>
        <w:t>或E-mail</w:t>
      </w:r>
      <w:r w:rsidRPr="004017AD">
        <w:rPr>
          <w:rFonts w:ascii="標楷體" w:hAnsi="標楷體" w:hint="eastAsia"/>
          <w:bCs/>
          <w:color w:val="000000"/>
        </w:rPr>
        <w:t>即時服務：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*本系統基本操作步驟/程序說明。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*本系統使用常見問題與處理說明。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*資訊環境一般狀況排除方法。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>三、遠端通訊連線服務(WIN:遠端桌面、TeamViewer、Skype、Email):</w:t>
      </w:r>
    </w:p>
    <w:p w:rsidR="009E1789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 *問題偵測與判斷處理。</w:t>
      </w:r>
      <w:r w:rsidRPr="004017AD">
        <w:rPr>
          <w:rFonts w:ascii="標楷體" w:hAnsi="標楷體"/>
          <w:bCs/>
          <w:color w:val="000000"/>
        </w:rPr>
        <w:br/>
      </w:r>
      <w:r w:rsidRPr="004017AD">
        <w:rPr>
          <w:rFonts w:ascii="標楷體" w:hAnsi="標楷體" w:hint="eastAsia"/>
          <w:bCs/>
          <w:color w:val="000000"/>
        </w:rPr>
        <w:t xml:space="preserve">     *程式潛在錯誤(BUG)更新。</w:t>
      </w:r>
      <w:r w:rsidRPr="004017AD">
        <w:rPr>
          <w:rFonts w:ascii="標楷體" w:hAnsi="標楷體"/>
          <w:bCs/>
          <w:color w:val="000000"/>
        </w:rPr>
        <w:br/>
      </w:r>
      <w:r w:rsidRPr="004017AD">
        <w:rPr>
          <w:rFonts w:ascii="標楷體" w:hAnsi="標楷體" w:hint="eastAsia"/>
          <w:bCs/>
          <w:color w:val="000000"/>
        </w:rPr>
        <w:t xml:space="preserve">     *遠端資料重整作業等。</w:t>
      </w:r>
    </w:p>
    <w:p w:rsidR="009E1789" w:rsidRDefault="009E1789" w:rsidP="005C4BA6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>四、系統維護範圍係指簽約當時為使本系統正常運作所產生的所有程式，以及本合約書維護期間所產生的程式。</w:t>
      </w:r>
    </w:p>
    <w:p w:rsidR="009E1789" w:rsidRPr="00BF05EE" w:rsidRDefault="009E1789" w:rsidP="00BF05EE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 w:rsidRPr="00BF05EE">
        <w:rPr>
          <w:rFonts w:ascii="標楷體" w:hAnsi="標楷體" w:hint="eastAsia"/>
          <w:bCs/>
          <w:color w:val="000000"/>
        </w:rPr>
        <w:t>五、甲方因校務研究暨資訊整合需要，乙方需無償提供甲方所需標的物data</w:t>
      </w:r>
    </w:p>
    <w:p w:rsidR="009E1789" w:rsidRDefault="009E1789" w:rsidP="00BF05EE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 xml:space="preserve">    </w:t>
      </w:r>
      <w:r w:rsidRPr="00BF05EE">
        <w:rPr>
          <w:rFonts w:ascii="標楷體" w:hAnsi="標楷體" w:hint="eastAsia"/>
          <w:bCs/>
          <w:color w:val="000000"/>
        </w:rPr>
        <w:t>view資料供</w:t>
      </w:r>
      <w:proofErr w:type="gramStart"/>
      <w:r w:rsidRPr="00BF05EE">
        <w:rPr>
          <w:rFonts w:ascii="標楷體" w:hAnsi="標楷體" w:hint="eastAsia"/>
          <w:bCs/>
          <w:color w:val="000000"/>
        </w:rPr>
        <w:t>介</w:t>
      </w:r>
      <w:proofErr w:type="gramEnd"/>
      <w:r w:rsidRPr="00BF05EE">
        <w:rPr>
          <w:rFonts w:ascii="標楷體" w:hAnsi="標楷體" w:hint="eastAsia"/>
          <w:bCs/>
          <w:color w:val="000000"/>
        </w:rPr>
        <w:t>接使用。</w:t>
      </w:r>
    </w:p>
    <w:p w:rsidR="009E1789" w:rsidRPr="009C5E3B" w:rsidRDefault="009E1789" w:rsidP="009E1789">
      <w:pPr>
        <w:snapToGrid w:val="0"/>
        <w:spacing w:beforeLines="50" w:before="180"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第三條：維護期間</w:t>
      </w:r>
    </w:p>
    <w:p w:rsidR="009E1789" w:rsidRPr="009C5E3B" w:rsidRDefault="009E1789" w:rsidP="009C5E3B">
      <w:pPr>
        <w:snapToGrid w:val="0"/>
        <w:spacing w:line="360" w:lineRule="auto"/>
        <w:ind w:leftChars="350"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本系統之維護</w:t>
      </w:r>
      <w:r>
        <w:rPr>
          <w:rFonts w:ascii="標楷體" w:eastAsia="標楷體" w:hAnsi="標楷體" w:hint="eastAsia"/>
          <w:color w:val="000000"/>
        </w:rPr>
        <w:t>日期自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年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月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日</w:t>
      </w:r>
      <w:r w:rsidRPr="009C5E3B">
        <w:rPr>
          <w:rFonts w:ascii="標楷體" w:eastAsia="標楷體" w:hAnsi="標楷體" w:cs="TTE12109A8t00CID-WinCharSetFFFF" w:hint="eastAsia"/>
        </w:rPr>
        <w:t>至止。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第四條：維護費用及付款方式</w:t>
      </w:r>
    </w:p>
    <w:p w:rsidR="009E1789" w:rsidRDefault="009E1789" w:rsidP="009C5E3B">
      <w:pPr>
        <w:numPr>
          <w:ilvl w:val="0"/>
          <w:numId w:val="18"/>
        </w:numPr>
        <w:tabs>
          <w:tab w:val="clear" w:pos="156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703F0B">
        <w:rPr>
          <w:rFonts w:ascii="標楷體" w:eastAsia="標楷體" w:hAnsi="標楷體" w:hint="eastAsia"/>
          <w:color w:val="000000"/>
        </w:rPr>
        <w:t>本合約維護費用總額計新台幣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  <w:r w:rsidRPr="00703F0B">
        <w:rPr>
          <w:rFonts w:ascii="標楷體" w:eastAsia="標楷體" w:hAnsi="標楷體" w:hint="eastAsia"/>
          <w:color w:val="000000"/>
        </w:rPr>
        <w:t>元整</w:t>
      </w:r>
      <w:r w:rsidRPr="00703F0B">
        <w:rPr>
          <w:rFonts w:ascii="標楷體" w:eastAsia="標楷體" w:hAnsi="標楷體"/>
          <w:color w:val="000000"/>
        </w:rPr>
        <w:t>(</w:t>
      </w:r>
      <w:r w:rsidRPr="00703F0B">
        <w:rPr>
          <w:rFonts w:ascii="標楷體" w:eastAsia="標楷體" w:hAnsi="標楷體" w:hint="eastAsia"/>
          <w:color w:val="000000"/>
        </w:rPr>
        <w:t>含稅</w:t>
      </w:r>
      <w:r w:rsidRPr="00703F0B">
        <w:rPr>
          <w:rFonts w:ascii="標楷體" w:eastAsia="標楷體" w:hAnsi="標楷體"/>
          <w:color w:val="000000"/>
        </w:rPr>
        <w:t>)</w:t>
      </w:r>
      <w:r w:rsidRPr="00703F0B">
        <w:rPr>
          <w:rFonts w:ascii="標楷體" w:eastAsia="標楷體" w:hAnsi="標楷體" w:hint="eastAsia"/>
          <w:color w:val="000000"/>
        </w:rPr>
        <w:t>。</w:t>
      </w:r>
    </w:p>
    <w:p w:rsidR="009E1789" w:rsidRPr="00703F0B" w:rsidRDefault="009E1789" w:rsidP="009C5E3B">
      <w:pPr>
        <w:numPr>
          <w:ilvl w:val="0"/>
          <w:numId w:val="18"/>
        </w:numPr>
        <w:tabs>
          <w:tab w:val="clear" w:pos="156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703F0B">
        <w:rPr>
          <w:rFonts w:ascii="標楷體" w:eastAsia="標楷體" w:hAnsi="標楷體" w:hint="eastAsia"/>
          <w:color w:val="000000"/>
        </w:rPr>
        <w:t>本維護費用於甲乙雙方簽署合約生效後，乙方</w:t>
      </w:r>
      <w:r>
        <w:rPr>
          <w:rFonts w:ascii="標楷體" w:eastAsia="標楷體" w:hAnsi="標楷體" w:hint="eastAsia"/>
          <w:color w:val="000000"/>
        </w:rPr>
        <w:t>一</w:t>
      </w:r>
      <w:r w:rsidRPr="00703F0B">
        <w:rPr>
          <w:rFonts w:ascii="標楷體" w:eastAsia="標楷體" w:hAnsi="標楷體" w:hint="eastAsia"/>
          <w:color w:val="000000"/>
        </w:rPr>
        <w:t>次請款開立統一發票向甲方請款，甲方匯入乙方指定帳戶。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第五條：維護方式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/>
          <w:bCs/>
        </w:rPr>
        <w:t>乙方提供維護之基本時間為星期一至五上午</w:t>
      </w:r>
      <w:r w:rsidRPr="009C5E3B">
        <w:rPr>
          <w:rFonts w:ascii="標楷體" w:eastAsia="標楷體" w:hAnsi="標楷體" w:hint="eastAsia"/>
          <w:bCs/>
        </w:rPr>
        <w:t>8:00</w:t>
      </w:r>
      <w:r w:rsidRPr="009C5E3B">
        <w:rPr>
          <w:rFonts w:ascii="標楷體" w:eastAsia="標楷體" w:hAnsi="標楷體"/>
          <w:bCs/>
        </w:rPr>
        <w:t>至下午</w:t>
      </w:r>
      <w:r w:rsidRPr="009C5E3B">
        <w:rPr>
          <w:rFonts w:ascii="標楷體" w:eastAsia="標楷體" w:hAnsi="標楷體" w:hint="eastAsia"/>
          <w:bCs/>
        </w:rPr>
        <w:t>5:00(依行政院人事行政局公告之正常上班時間為基準</w:t>
      </w:r>
      <w:r w:rsidRPr="009C5E3B">
        <w:rPr>
          <w:rFonts w:ascii="標楷體" w:eastAsia="標楷體" w:hAnsi="標楷體"/>
          <w:bCs/>
        </w:rPr>
        <w:t>；惟如乙方於服務時間內開始進行管</w:t>
      </w:r>
      <w:r w:rsidRPr="009C5E3B">
        <w:rPr>
          <w:rFonts w:ascii="標楷體" w:eastAsia="標楷體" w:hAnsi="標楷體"/>
          <w:bCs/>
        </w:rPr>
        <w:lastRenderedPageBreak/>
        <w:t>理維護服務之任何超時工作，則不在此限</w:t>
      </w:r>
      <w:r w:rsidRPr="009C5E3B">
        <w:rPr>
          <w:rFonts w:ascii="標楷體" w:eastAsia="標楷體" w:hAnsi="標楷體" w:hint="eastAsia"/>
          <w:bCs/>
        </w:rPr>
        <w:t>)。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/>
          <w:bCs/>
        </w:rPr>
        <w:t>如甲方要求乙方基本維護時間外提供維</w:t>
      </w:r>
      <w:r w:rsidRPr="009C5E3B">
        <w:rPr>
          <w:rFonts w:ascii="標楷體" w:eastAsia="標楷體" w:hAnsi="標楷體" w:hint="eastAsia"/>
          <w:bCs/>
        </w:rPr>
        <w:t>護</w:t>
      </w:r>
      <w:r w:rsidRPr="009C5E3B">
        <w:rPr>
          <w:rFonts w:ascii="標楷體" w:eastAsia="標楷體" w:hAnsi="標楷體"/>
          <w:bCs/>
        </w:rPr>
        <w:t>服務，</w:t>
      </w:r>
      <w:r w:rsidRPr="009C5E3B">
        <w:rPr>
          <w:rFonts w:ascii="標楷體" w:eastAsia="標楷體" w:hAnsi="標楷體" w:hint="eastAsia"/>
          <w:bCs/>
        </w:rPr>
        <w:t>雙方可另議計費辦法，且於選定維護時間兩天前通知乙方安排配合。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甲方因系統使用需求，得向乙方提出本合約第二條中所列之維護項目要求，乙方不得拒絕，並依下列情況等級在期限內回應。</w:t>
      </w:r>
    </w:p>
    <w:p w:rsidR="009E1789" w:rsidRPr="009C5E3B" w:rsidRDefault="009E1789" w:rsidP="009C5E3B">
      <w:pPr>
        <w:numPr>
          <w:ilvl w:val="1"/>
          <w:numId w:val="19"/>
        </w:numPr>
        <w:tabs>
          <w:tab w:val="num" w:pos="1920"/>
        </w:tabs>
        <w:adjustRightInd w:val="0"/>
        <w:snapToGrid w:val="0"/>
        <w:spacing w:line="360" w:lineRule="auto"/>
        <w:ind w:left="1920" w:rightChars="-28" w:right="-67" w:hanging="48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嚴重情況：標的物發生異常致影響正常運作，應於上班時間八小時內回覆處理方式，使本系統恢復正常運作。</w:t>
      </w:r>
    </w:p>
    <w:p w:rsidR="009E1789" w:rsidRPr="009C5E3B" w:rsidRDefault="009E1789" w:rsidP="009C5E3B">
      <w:pPr>
        <w:numPr>
          <w:ilvl w:val="1"/>
          <w:numId w:val="19"/>
        </w:numPr>
        <w:tabs>
          <w:tab w:val="num" w:pos="1920"/>
        </w:tabs>
        <w:adjustRightInd w:val="0"/>
        <w:snapToGrid w:val="0"/>
        <w:spacing w:line="360" w:lineRule="auto"/>
        <w:ind w:left="1920" w:rightChars="-28" w:right="-67" w:hanging="48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一般情況：標的物發生異常但不致影響正常運作，應於上班時間八小時內回應，若責</w:t>
      </w:r>
      <w:proofErr w:type="gramStart"/>
      <w:r w:rsidRPr="009C5E3B">
        <w:rPr>
          <w:rFonts w:ascii="標楷體" w:eastAsia="標楷體" w:hAnsi="標楷體" w:hint="eastAsia"/>
          <w:color w:val="000000"/>
        </w:rPr>
        <w:t>規</w:t>
      </w:r>
      <w:proofErr w:type="gramEnd"/>
      <w:r w:rsidRPr="009C5E3B">
        <w:rPr>
          <w:rFonts w:ascii="標楷體" w:eastAsia="標楷體" w:hAnsi="標楷體" w:hint="eastAsia"/>
          <w:color w:val="000000"/>
        </w:rPr>
        <w:t>於乙方，乙方需於七個工作日內排除事故，修復異常狀況。</w:t>
      </w:r>
    </w:p>
    <w:p w:rsidR="009E1789" w:rsidRPr="009C5E3B" w:rsidRDefault="009E1789" w:rsidP="009C5E3B">
      <w:pPr>
        <w:numPr>
          <w:ilvl w:val="0"/>
          <w:numId w:val="19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維護需求發生時，乙方接獲甲方提出「</w:t>
      </w:r>
      <w:r>
        <w:rPr>
          <w:rFonts w:ascii="標楷體" w:eastAsia="標楷體" w:hAnsi="標楷體" w:hint="eastAsia"/>
          <w:color w:val="000000"/>
        </w:rPr>
        <w:t>需求反應</w:t>
      </w:r>
      <w:r w:rsidRPr="009C5E3B">
        <w:rPr>
          <w:rFonts w:ascii="標楷體" w:eastAsia="標楷體" w:hAnsi="標楷體" w:hint="eastAsia"/>
          <w:color w:val="000000"/>
        </w:rPr>
        <w:t>單」；但情況急迫時，甲方得</w:t>
      </w:r>
      <w:proofErr w:type="gramStart"/>
      <w:r w:rsidRPr="009C5E3B">
        <w:rPr>
          <w:rFonts w:ascii="標楷體" w:eastAsia="標楷體" w:hAnsi="標楷體" w:hint="eastAsia"/>
          <w:color w:val="000000"/>
        </w:rPr>
        <w:t>逕</w:t>
      </w:r>
      <w:proofErr w:type="gramEnd"/>
      <w:r w:rsidRPr="009C5E3B">
        <w:rPr>
          <w:rFonts w:ascii="標楷體" w:eastAsia="標楷體" w:hAnsi="標楷體" w:hint="eastAsia"/>
          <w:color w:val="000000"/>
        </w:rPr>
        <w:t>以電話或其他方式通知乙方即時處理，乙方不得拒絕，惟事後甲方仍應填列「</w:t>
      </w:r>
      <w:r>
        <w:rPr>
          <w:rFonts w:ascii="標楷體" w:eastAsia="標楷體" w:hAnsi="標楷體" w:hint="eastAsia"/>
          <w:color w:val="000000"/>
        </w:rPr>
        <w:t>需求反應</w:t>
      </w:r>
      <w:r w:rsidRPr="009C5E3B">
        <w:rPr>
          <w:rFonts w:ascii="標楷體" w:eastAsia="標楷體" w:hAnsi="標楷體" w:hint="eastAsia"/>
          <w:color w:val="000000"/>
        </w:rPr>
        <w:t>單」。乙方於維護完成後，應於系統登載</w:t>
      </w:r>
      <w:r>
        <w:rPr>
          <w:rFonts w:ascii="標楷體" w:eastAsia="標楷體" w:hAnsi="標楷體" w:hint="eastAsia"/>
          <w:color w:val="000000"/>
        </w:rPr>
        <w:t>處</w:t>
      </w:r>
      <w:r w:rsidRPr="009C5E3B">
        <w:rPr>
          <w:rFonts w:ascii="標楷體" w:eastAsia="標楷體" w:hAnsi="標楷體" w:hint="eastAsia"/>
          <w:color w:val="000000"/>
        </w:rPr>
        <w:t>理結果後</w:t>
      </w:r>
      <w:proofErr w:type="gramStart"/>
      <w:r w:rsidRPr="009C5E3B">
        <w:rPr>
          <w:rFonts w:ascii="標楷體" w:eastAsia="標楷體" w:hAnsi="標楷體" w:hint="eastAsia"/>
          <w:color w:val="000000"/>
        </w:rPr>
        <w:t>提供予甲方</w:t>
      </w:r>
      <w:proofErr w:type="gramEnd"/>
      <w:r w:rsidRPr="009C5E3B">
        <w:rPr>
          <w:rFonts w:ascii="標楷體" w:eastAsia="標楷體" w:hAnsi="標楷體" w:hint="eastAsia"/>
          <w:color w:val="000000"/>
        </w:rPr>
        <w:t>，並經甲方</w:t>
      </w:r>
      <w:r>
        <w:rPr>
          <w:rFonts w:ascii="標楷體" w:eastAsia="標楷體" w:hAnsi="標楷體" w:hint="eastAsia"/>
          <w:color w:val="000000"/>
        </w:rPr>
        <w:t>確認完成</w:t>
      </w:r>
      <w:r w:rsidRPr="009C5E3B">
        <w:rPr>
          <w:rFonts w:ascii="標楷體" w:eastAsia="標楷體" w:hAnsi="標楷體" w:hint="eastAsia"/>
          <w:color w:val="000000"/>
        </w:rPr>
        <w:t>後，始得為服務之依據。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乙方如於預估時間內無法完成該項維護服務內容時，應立即向甲方反應與協商，並取得甲方之瞭解與同意展期，並於</w:t>
      </w:r>
      <w:r>
        <w:rPr>
          <w:rFonts w:ascii="標楷體" w:eastAsia="標楷體" w:hAnsi="標楷體" w:hint="eastAsia"/>
          <w:color w:val="000000"/>
        </w:rPr>
        <w:t>需求反應單</w:t>
      </w:r>
      <w:r w:rsidRPr="009C5E3B">
        <w:rPr>
          <w:rFonts w:ascii="標楷體" w:eastAsia="標楷體" w:hAnsi="標楷體" w:hint="eastAsia"/>
          <w:color w:val="000000"/>
        </w:rPr>
        <w:t>上註明預定完成日期。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乙方因順利維護本系統所必需之各項資源</w:t>
      </w:r>
      <w:r w:rsidRPr="009C5E3B">
        <w:rPr>
          <w:rFonts w:ascii="標楷體" w:eastAsia="標楷體" w:hAnsi="標楷體"/>
          <w:color w:val="000000"/>
        </w:rPr>
        <w:t>(</w:t>
      </w:r>
      <w:r w:rsidRPr="009C5E3B">
        <w:rPr>
          <w:rFonts w:ascii="標楷體" w:eastAsia="標楷體" w:hAnsi="標楷體" w:hint="eastAsia"/>
          <w:color w:val="000000"/>
        </w:rPr>
        <w:t>包括硬體及相關系統軟體等</w:t>
      </w:r>
      <w:r w:rsidRPr="009C5E3B">
        <w:rPr>
          <w:rFonts w:ascii="標楷體" w:eastAsia="標楷體" w:hAnsi="標楷體"/>
          <w:color w:val="000000"/>
        </w:rPr>
        <w:t>)</w:t>
      </w:r>
      <w:r w:rsidRPr="009C5E3B">
        <w:rPr>
          <w:rFonts w:ascii="標楷體" w:eastAsia="標楷體" w:hAnsi="標楷體" w:hint="eastAsia"/>
          <w:color w:val="000000"/>
        </w:rPr>
        <w:t>，經甲方同意後，得要求甲方提供及必要支援協助及同意使用。</w:t>
      </w:r>
    </w:p>
    <w:p w:rsidR="009E1789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乙方於進行本系統維護前，必須取得甲方同意，同時應保留所有維修記錄。</w:t>
      </w:r>
    </w:p>
    <w:p w:rsidR="009E1789" w:rsidRPr="00C45A73" w:rsidRDefault="009E1789" w:rsidP="00C45A73">
      <w:pPr>
        <w:numPr>
          <w:ilvl w:val="0"/>
          <w:numId w:val="19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8331C">
        <w:rPr>
          <w:rFonts w:ascii="標楷體" w:eastAsia="標楷體" w:hAnsi="標楷體"/>
          <w:color w:val="000000"/>
        </w:rPr>
        <w:t>乙方在「需求反應單」提出反應，甲方應成立</w:t>
      </w:r>
      <w:proofErr w:type="gramStart"/>
      <w:r w:rsidRPr="0098331C">
        <w:rPr>
          <w:rFonts w:ascii="標楷體" w:eastAsia="標楷體" w:hAnsi="標楷體"/>
          <w:color w:val="000000"/>
        </w:rPr>
        <w:t>一</w:t>
      </w:r>
      <w:proofErr w:type="gramEnd"/>
      <w:r w:rsidRPr="0098331C">
        <w:rPr>
          <w:rFonts w:ascii="標楷體" w:eastAsia="標楷體" w:hAnsi="標楷體"/>
          <w:color w:val="000000"/>
        </w:rPr>
        <w:t>內部進度控管機制，於2～4日內進行處理，並於處理狀態中適時</w:t>
      </w:r>
      <w:proofErr w:type="gramStart"/>
      <w:r w:rsidRPr="0098331C">
        <w:rPr>
          <w:rFonts w:ascii="標楷體" w:eastAsia="標楷體" w:hAnsi="標楷體"/>
          <w:color w:val="000000"/>
        </w:rPr>
        <w:t>更新且述</w:t>
      </w:r>
      <w:proofErr w:type="gramEnd"/>
      <w:r w:rsidRPr="0098331C">
        <w:rPr>
          <w:rFonts w:ascii="標楷體" w:eastAsia="標楷體" w:hAnsi="標楷體"/>
          <w:color w:val="000000"/>
        </w:rPr>
        <w:t>明處理狀況，讓乙方了解所提「需求反應單」的進度。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第六條：保密及權利義務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甲方提出維護需求後，乙方應即依約處理本系統功能諮詢、變更或除錯等服務。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甲方應提供乙方對系統疑義之諮詢解釋及維護所需之其他相關</w:t>
      </w:r>
      <w:proofErr w:type="gramStart"/>
      <w:r w:rsidRPr="009C5E3B">
        <w:rPr>
          <w:rFonts w:ascii="標楷體" w:eastAsia="標楷體" w:hAnsi="標楷體" w:hint="eastAsia"/>
          <w:color w:val="000000"/>
        </w:rPr>
        <w:t>偵</w:t>
      </w:r>
      <w:proofErr w:type="gramEnd"/>
      <w:r w:rsidRPr="009C5E3B">
        <w:rPr>
          <w:rFonts w:ascii="標楷體" w:eastAsia="標楷體" w:hAnsi="標楷體" w:hint="eastAsia"/>
          <w:color w:val="000000"/>
        </w:rPr>
        <w:t>錯操作。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乙方應維持二名以上維護人員相互支援維護工作。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本系統在本合約有效期間內，甲方應保持其原狀與完整，</w:t>
      </w:r>
      <w:r w:rsidRPr="009C5E3B">
        <w:rPr>
          <w:rFonts w:ascii="標楷體" w:eastAsia="標楷體" w:hAnsi="標楷體" w:hint="eastAsia"/>
          <w:bCs/>
          <w:color w:val="000000"/>
        </w:rPr>
        <w:t>因甲方人為作業疏失或因自行加入、刪除、移動應用軟體或天災地變等不可抗力因</w:t>
      </w:r>
      <w:r w:rsidRPr="009C5E3B">
        <w:rPr>
          <w:rFonts w:ascii="標楷體" w:eastAsia="標楷體" w:hAnsi="標楷體" w:hint="eastAsia"/>
          <w:bCs/>
          <w:color w:val="000000"/>
        </w:rPr>
        <w:lastRenderedPageBreak/>
        <w:t>素，致程式資料毀損者，乙方不負修復之責任</w:t>
      </w:r>
      <w:r w:rsidRPr="009C5E3B">
        <w:rPr>
          <w:rFonts w:ascii="標楷體" w:eastAsia="標楷體" w:hAnsi="標楷體" w:hint="eastAsia"/>
          <w:color w:val="000000"/>
        </w:rPr>
        <w:t>，或乙方得終止本合約所規定之所有服務工作。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甲、乙雙方並應負責要求所屬員工遵守保密規定如附件，若有員工違反者，視同該方當事人違反本合約，將按民、刑法追究責任及賠償。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甲、乙雙方應善盡管</w:t>
      </w:r>
      <w:r>
        <w:rPr>
          <w:rFonts w:ascii="標楷體" w:eastAsia="標楷體" w:hAnsi="標楷體" w:hint="eastAsia"/>
          <w:color w:val="000000"/>
        </w:rPr>
        <w:t>理人之責，妥善保管他方提供有關本系統之所有資料。</w:t>
      </w:r>
    </w:p>
    <w:p w:rsidR="009E1789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因乙方人員處置不當、疏忽行為而引起維護標的物損壞，乙方應彌補甲方損失。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第七條：違約罰則</w:t>
      </w:r>
    </w:p>
    <w:p w:rsidR="009E1789" w:rsidRPr="009C5E3B" w:rsidRDefault="009E1789" w:rsidP="009C5E3B">
      <w:pPr>
        <w:snapToGrid w:val="0"/>
        <w:spacing w:line="360" w:lineRule="auto"/>
        <w:ind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乙方未依約履行本合約之義務時，或違反本合約書內容，或未能於規定工作天內完成，除賠償甲方所受之損失外，每逾一個工作天，應罰以維護費用總金額之千分之二。甲方得</w:t>
      </w:r>
      <w:proofErr w:type="gramStart"/>
      <w:r w:rsidRPr="009C5E3B">
        <w:rPr>
          <w:rFonts w:ascii="標楷體" w:eastAsia="標楷體" w:hAnsi="標楷體" w:hint="eastAsia"/>
          <w:color w:val="000000"/>
        </w:rPr>
        <w:t>逕</w:t>
      </w:r>
      <w:proofErr w:type="gramEnd"/>
      <w:r w:rsidRPr="009C5E3B">
        <w:rPr>
          <w:rFonts w:ascii="標楷體" w:eastAsia="標楷體" w:hAnsi="標楷體" w:hint="eastAsia"/>
          <w:color w:val="000000"/>
        </w:rPr>
        <w:t>由下一期付款費用扣除，乙方不得異議。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第八條：合約生效</w:t>
      </w:r>
    </w:p>
    <w:p w:rsidR="009E1789" w:rsidRPr="009C5E3B" w:rsidRDefault="009E1789" w:rsidP="009C5E3B">
      <w:pPr>
        <w:snapToGrid w:val="0"/>
        <w:spacing w:line="360" w:lineRule="auto"/>
        <w:ind w:left="72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本合約自雙方簽訂之日起開始生效，並取代本合約簽訂前雙方所有在口頭或書面上之建議、協議及會議結論。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第九條：合約變更</w:t>
      </w:r>
    </w:p>
    <w:p w:rsidR="009E1789" w:rsidRPr="009C5E3B" w:rsidRDefault="009E1789" w:rsidP="009C5E3B">
      <w:pPr>
        <w:snapToGrid w:val="0"/>
        <w:spacing w:line="360" w:lineRule="auto"/>
        <w:ind w:left="72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本合約之修改，需經雙方同意並以附件方式經雙方簽署用印後生效，該生效之附件，視為本合約不可分割之</w:t>
      </w:r>
      <w:proofErr w:type="gramStart"/>
      <w:r w:rsidRPr="009C5E3B">
        <w:rPr>
          <w:rFonts w:ascii="標楷體" w:eastAsia="標楷體" w:hAnsi="標楷體" w:hint="eastAsia"/>
        </w:rPr>
        <w:t>一</w:t>
      </w:r>
      <w:proofErr w:type="gramEnd"/>
      <w:r w:rsidRPr="009C5E3B">
        <w:rPr>
          <w:rFonts w:ascii="標楷體" w:eastAsia="標楷體" w:hAnsi="標楷體" w:hint="eastAsia"/>
        </w:rPr>
        <w:t>部份。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第十條：合約終止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任一方有下列情事發生者，他方得以書面通知終止本合約：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一方違反或不履行合約時。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一方有破產、解散、重整、停止營業、公司合併或其他嚴重影響債信之情事發生時。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一方未經他方同意而將本合約之權利義務移轉或讓予第三人者。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除前述情形外，非經雙方書面同意，任一方不得任意終止或解除本合約。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如因可歸責於乙方之事由致本合約提前終止者，乙方應按實際情形結算維護費用，如甲方所撥付費用有超額之情形時，乙方應無</w:t>
      </w:r>
      <w:proofErr w:type="gramStart"/>
      <w:r w:rsidRPr="009C5E3B">
        <w:rPr>
          <w:rFonts w:ascii="標楷體" w:eastAsia="標楷體" w:hAnsi="標楷體" w:hint="eastAsia"/>
        </w:rPr>
        <w:t>息返還予甲</w:t>
      </w:r>
      <w:proofErr w:type="gramEnd"/>
      <w:r w:rsidRPr="009C5E3B">
        <w:rPr>
          <w:rFonts w:ascii="標楷體" w:eastAsia="標楷體" w:hAnsi="標楷體" w:hint="eastAsia"/>
        </w:rPr>
        <w:t>方。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自本合約終止日起，乙方不再依本合約為甲方從事任何與本合約之相關服務工作。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第十一條：</w:t>
      </w:r>
      <w:r w:rsidRPr="009C5E3B">
        <w:rPr>
          <w:rFonts w:ascii="標楷體" w:eastAsia="標楷體" w:hAnsi="標楷體" w:hint="eastAsia"/>
        </w:rPr>
        <w:t>法律適用及訴訟管轄</w:t>
      </w:r>
    </w:p>
    <w:p w:rsidR="009E1789" w:rsidRPr="009C5E3B" w:rsidRDefault="009E1789" w:rsidP="009C5E3B">
      <w:pPr>
        <w:snapToGrid w:val="0"/>
        <w:spacing w:line="360" w:lineRule="auto"/>
        <w:ind w:left="96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本合約依中華民國法律解釋及規範，雙方關於本合約或因本合約所引起之疑</w:t>
      </w:r>
      <w:r w:rsidRPr="009C5E3B">
        <w:rPr>
          <w:rFonts w:ascii="標楷體" w:eastAsia="標楷體" w:hAnsi="標楷體" w:hint="eastAsia"/>
        </w:rPr>
        <w:lastRenderedPageBreak/>
        <w:t>義、爭執或糾紛，應本誠信原則解決，若有訴訟之必要，雙方同意以甲方所在地之法院為第一審管轄法院</w:t>
      </w:r>
      <w:r w:rsidRPr="009C5E3B">
        <w:rPr>
          <w:rFonts w:ascii="標楷體" w:eastAsia="標楷體" w:hAnsi="標楷體"/>
        </w:rPr>
        <w:t>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第十二條：合約收執</w:t>
      </w:r>
    </w:p>
    <w:p w:rsidR="009E1789" w:rsidRPr="009C5E3B" w:rsidRDefault="009E1789" w:rsidP="009C5E3B">
      <w:pPr>
        <w:snapToGrid w:val="0"/>
        <w:spacing w:line="360" w:lineRule="auto"/>
        <w:ind w:left="96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本合約正本二份，雙方各執一份，由甲方</w:t>
      </w:r>
      <w:proofErr w:type="gramStart"/>
      <w:r w:rsidRPr="009C5E3B">
        <w:rPr>
          <w:rFonts w:ascii="標楷體" w:eastAsia="標楷體" w:hAnsi="標楷體" w:hint="eastAsia"/>
        </w:rPr>
        <w:t>分別陳轉備用</w:t>
      </w:r>
      <w:proofErr w:type="gramEnd"/>
      <w:r w:rsidRPr="009C5E3B">
        <w:rPr>
          <w:rFonts w:ascii="標楷體" w:eastAsia="標楷體" w:hAnsi="標楷體" w:hint="eastAsia"/>
        </w:rPr>
        <w:t>，如有誤繕，以正本為準</w:t>
      </w:r>
      <w:r w:rsidRPr="009C5E3B">
        <w:rPr>
          <w:rFonts w:ascii="標楷體" w:eastAsia="標楷體" w:hAnsi="標楷體"/>
        </w:rPr>
        <w:t>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第十三條：</w:t>
      </w:r>
      <w:r w:rsidRPr="009C5E3B">
        <w:rPr>
          <w:rFonts w:ascii="標楷體" w:eastAsia="標楷體" w:hAnsi="標楷體" w:hint="eastAsia"/>
        </w:rPr>
        <w:t>未盡事宜</w:t>
      </w:r>
    </w:p>
    <w:p w:rsidR="009E1789" w:rsidRPr="009C5E3B" w:rsidRDefault="009E1789" w:rsidP="009C5E3B">
      <w:pPr>
        <w:snapToGrid w:val="0"/>
        <w:spacing w:line="240" w:lineRule="atLeast"/>
        <w:ind w:left="960" w:rightChars="-28" w:right="-67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C5E3B">
        <w:rPr>
          <w:rFonts w:ascii="標楷體" w:eastAsia="標楷體" w:hAnsi="標楷體" w:hint="eastAsia"/>
        </w:rPr>
        <w:t>本合約之解釋、效力、履行及其他未盡之事宜，悉依中華民國相關法律裁決之。</w:t>
      </w:r>
    </w:p>
    <w:p w:rsidR="009E1789" w:rsidRDefault="009E1789" w:rsidP="009C5E3B">
      <w:pPr>
        <w:spacing w:line="0" w:lineRule="atLeast"/>
        <w:ind w:rightChars="-28" w:right="-67"/>
        <w:rPr>
          <w:rFonts w:ascii="標楷體" w:eastAsia="標楷體" w:hAnsi="標楷體"/>
          <w:bCs/>
          <w:sz w:val="28"/>
          <w:szCs w:val="28"/>
        </w:rPr>
      </w:pPr>
      <w:r w:rsidRPr="009C5E3B">
        <w:rPr>
          <w:rFonts w:ascii="標楷體" w:eastAsia="標楷體" w:hAnsi="標楷體"/>
          <w:bCs/>
          <w:sz w:val="28"/>
          <w:szCs w:val="28"/>
        </w:rPr>
        <w:br w:type="page"/>
      </w:r>
    </w:p>
    <w:p w:rsidR="009E1789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3815BB">
        <w:rPr>
          <w:rFonts w:ascii="標楷體" w:eastAsia="標楷體" w:hAnsi="標楷體" w:hint="eastAsia"/>
          <w:bCs/>
          <w:sz w:val="28"/>
          <w:szCs w:val="28"/>
        </w:rPr>
        <w:lastRenderedPageBreak/>
        <w:t>立合約書人：</w:t>
      </w:r>
    </w:p>
    <w:p w:rsidR="009E1789" w:rsidRPr="003815BB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甲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方：</w:t>
      </w:r>
      <w:r w:rsidRPr="008E5A04">
        <w:rPr>
          <w:rFonts w:ascii="標楷體" w:eastAsia="標楷體" w:hAnsi="標楷體" w:hint="eastAsia"/>
        </w:rPr>
        <w:t>佛光大學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代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表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 xml:space="preserve">人：校長  </w:t>
      </w:r>
      <w:r w:rsidR="00BB3998">
        <w:rPr>
          <w:rFonts w:ascii="標楷體" w:eastAsia="標楷體" w:hAnsi="標楷體" w:hint="eastAsia"/>
          <w:color w:val="000000"/>
        </w:rPr>
        <w:t>何卓飛</w:t>
      </w:r>
      <w:bookmarkStart w:id="0" w:name="_GoBack"/>
      <w:bookmarkEnd w:id="0"/>
    </w:p>
    <w:p w:rsidR="000579FE" w:rsidRDefault="000579FE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 絡 人：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地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址：</w:t>
      </w:r>
      <w:r w:rsidRPr="008E5A04">
        <w:rPr>
          <w:rFonts w:ascii="標楷體" w:eastAsia="標楷體" w:hAnsi="標楷體" w:hint="eastAsia"/>
        </w:rPr>
        <w:t>宜蘭縣礁溪鄉林美村林尾路160號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電　　話：</w:t>
      </w:r>
      <w:r w:rsidRPr="008E5A04">
        <w:rPr>
          <w:rFonts w:ascii="標楷體" w:eastAsia="標楷體" w:hAnsi="標楷體" w:hint="eastAsia"/>
        </w:rPr>
        <w:t>03-9871000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乙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方：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負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責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0579FE" w:rsidRDefault="000579FE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 絡 人：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公司地址：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電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話：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B05B2C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Pr="003815BB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703F0B">
      <w:pPr>
        <w:spacing w:line="0" w:lineRule="atLeast"/>
        <w:ind w:rightChars="-378" w:right="-907"/>
        <w:jc w:val="distribute"/>
        <w:rPr>
          <w:rFonts w:ascii="標楷體" w:eastAsia="標楷體" w:hAnsi="標楷體"/>
          <w:sz w:val="36"/>
          <w:szCs w:val="36"/>
        </w:rPr>
      </w:pPr>
      <w:r w:rsidRPr="00554F4D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日</w:t>
      </w:r>
    </w:p>
    <w:p w:rsidR="009E1789" w:rsidRDefault="009E1789" w:rsidP="009C5E3B">
      <w:pPr>
        <w:jc w:val="both"/>
        <w:rPr>
          <w:rFonts w:ascii="Arial" w:eastAsia="標楷體" w:hAnsi="Arial" w:cs="Arial"/>
          <w:color w:val="000000"/>
          <w:szCs w:val="36"/>
        </w:rPr>
      </w:pPr>
      <w:r>
        <w:rPr>
          <w:rFonts w:ascii="標楷體" w:eastAsia="標楷體"/>
          <w:sz w:val="28"/>
        </w:rPr>
        <w:br w:type="page"/>
      </w:r>
      <w:r>
        <w:rPr>
          <w:rFonts w:ascii="Arial" w:eastAsia="標楷體" w:hAnsi="Arial" w:cs="Arial"/>
          <w:color w:val="000000"/>
          <w:szCs w:val="36"/>
        </w:rPr>
        <w:lastRenderedPageBreak/>
        <w:t>附件</w:t>
      </w:r>
      <w:r>
        <w:rPr>
          <w:rFonts w:ascii="Arial" w:eastAsia="標楷體" w:hAnsi="Arial" w:cs="Arial" w:hint="eastAsia"/>
          <w:color w:val="000000"/>
          <w:szCs w:val="36"/>
        </w:rPr>
        <w:t>：</w:t>
      </w:r>
      <w:r>
        <w:rPr>
          <w:rFonts w:ascii="Arial" w:eastAsia="標楷體" w:hAnsi="Arial" w:cs="Arial"/>
          <w:color w:val="000000"/>
          <w:szCs w:val="36"/>
        </w:rPr>
        <w:t>保密合約</w:t>
      </w:r>
    </w:p>
    <w:p w:rsidR="009E1789" w:rsidRDefault="009E1789" w:rsidP="009C5E3B">
      <w:pPr>
        <w:jc w:val="both"/>
        <w:rPr>
          <w:rFonts w:ascii="Arial" w:hAnsi="Arial" w:cs="Arial"/>
          <w:color w:val="000000"/>
        </w:rPr>
      </w:pPr>
    </w:p>
    <w:p w:rsidR="009E1789" w:rsidRDefault="009E1789" w:rsidP="009C5E3B">
      <w:pPr>
        <w:pStyle w:val="ad"/>
        <w:ind w:rightChars="10" w:right="24"/>
      </w:pPr>
      <w:r>
        <w:t>一、乙方已充分了解中華民國「營業秘密法」、「電腦處理個人資料保護法」、「公平交易法」等相關法規之內容，並承諾願意遵守該等法規，以確實維護甲方保障秘密之權利。</w:t>
      </w:r>
    </w:p>
    <w:p w:rsidR="009E1789" w:rsidRPr="00CA5AD4" w:rsidRDefault="009E1789" w:rsidP="009C5E3B">
      <w:pPr>
        <w:pStyle w:val="a3"/>
        <w:snapToGrid w:val="0"/>
        <w:spacing w:before="120" w:line="360" w:lineRule="auto"/>
        <w:ind w:leftChars="17" w:left="538" w:rightChars="10" w:right="24" w:hanging="497"/>
        <w:rPr>
          <w:rFonts w:ascii="Arial" w:hAnsi="Arial" w:cs="Arial"/>
          <w:kern w:val="0"/>
          <w:szCs w:val="26"/>
        </w:rPr>
      </w:pPr>
      <w:r w:rsidRPr="00CA5AD4">
        <w:rPr>
          <w:rFonts w:ascii="Arial" w:hAnsi="Arial" w:cs="Arial"/>
          <w:kern w:val="0"/>
          <w:szCs w:val="26"/>
        </w:rPr>
        <w:t>二、乙方依本合約所產生之任何營業秘密，均歸屬於甲方所有。且非經甲方之書面同意，乙方不得將前開營業秘密以任何之方式洩漏或交付予第三人。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szCs w:val="26"/>
        </w:rPr>
        <w:t>三、乙方於執行本合約時，就其因而知悉、取得或使用之營運資訊，不論是否為甲方所提供，</w:t>
      </w:r>
      <w:proofErr w:type="gramStart"/>
      <w:r>
        <w:rPr>
          <w:rFonts w:ascii="Arial" w:eastAsia="標楷體" w:hAnsi="Arial" w:cs="Arial"/>
          <w:szCs w:val="26"/>
        </w:rPr>
        <w:t>均負有</w:t>
      </w:r>
      <w:proofErr w:type="gramEnd"/>
      <w:r>
        <w:rPr>
          <w:rFonts w:ascii="Arial" w:eastAsia="標楷體" w:hAnsi="Arial" w:cs="Arial"/>
          <w:szCs w:val="26"/>
        </w:rPr>
        <w:t>守密之義務；且非經甲方之書面</w:t>
      </w:r>
      <w:r>
        <w:rPr>
          <w:rFonts w:ascii="Arial" w:eastAsia="標楷體" w:hAnsi="Arial" w:cs="Arial"/>
          <w:color w:val="000000"/>
          <w:szCs w:val="26"/>
        </w:rPr>
        <w:t>同意，乙方不得將前開資訊以任何之方式洩漏或交付予第三人。</w:t>
      </w:r>
    </w:p>
    <w:p w:rsidR="009E1789" w:rsidRDefault="009E1789" w:rsidP="009C5E3B">
      <w:pPr>
        <w:snapToGrid w:val="0"/>
        <w:spacing w:line="360" w:lineRule="auto"/>
        <w:ind w:left="560" w:rightChars="10" w:right="24" w:hanging="2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營運資訊得以有形或無形方式提供，包括但不限於書面文件、繪圖、電子或其他電子媒介、樣品與口頭溝通。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四、除非經甲方之書面同意，乙方不得將本合約事項之全部或</w:t>
      </w:r>
      <w:proofErr w:type="gramStart"/>
      <w:r>
        <w:rPr>
          <w:rFonts w:ascii="Arial" w:eastAsia="標楷體" w:hAnsi="Arial" w:cs="Arial"/>
          <w:color w:val="000000"/>
          <w:szCs w:val="26"/>
        </w:rPr>
        <w:t>一</w:t>
      </w:r>
      <w:proofErr w:type="gramEnd"/>
      <w:r>
        <w:rPr>
          <w:rFonts w:ascii="Arial" w:eastAsia="標楷體" w:hAnsi="Arial" w:cs="Arial"/>
          <w:color w:val="000000"/>
          <w:szCs w:val="26"/>
        </w:rPr>
        <w:t>部份以任何方式交由第三人處理。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五、乙方因執行本合約，而自甲方取得之一切資料、文件，均應於本合約期間屆滿時無條件歸還甲方，不得加以複製；或將其銷毀，並出具銷毀證明。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六、本合約期間屆滿後，乙方就其因</w:t>
      </w:r>
      <w:r>
        <w:rPr>
          <w:rFonts w:ascii="Arial" w:eastAsia="標楷體" w:hAnsi="Arial" w:cs="Arial"/>
          <w:szCs w:val="26"/>
        </w:rPr>
        <w:t>執行本合約所知悉甲方之秘密，仍負有守密之義務。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七、乙方同意以契約關係或其他方式約束受僱員工於受</w:t>
      </w:r>
      <w:proofErr w:type="gramStart"/>
      <w:r>
        <w:rPr>
          <w:rFonts w:ascii="Arial" w:eastAsia="標楷體" w:hAnsi="Arial" w:cs="Arial"/>
          <w:color w:val="000000"/>
          <w:szCs w:val="26"/>
        </w:rPr>
        <w:t>僱</w:t>
      </w:r>
      <w:proofErr w:type="gramEnd"/>
      <w:r>
        <w:rPr>
          <w:rFonts w:ascii="Arial" w:eastAsia="標楷體" w:hAnsi="Arial" w:cs="Arial"/>
          <w:color w:val="000000"/>
          <w:szCs w:val="26"/>
        </w:rPr>
        <w:t>期間及僱用終止</w:t>
      </w:r>
      <w:proofErr w:type="gramStart"/>
      <w:r>
        <w:rPr>
          <w:rFonts w:ascii="Arial" w:eastAsia="標楷體" w:hAnsi="Arial" w:cs="Arial"/>
          <w:color w:val="000000"/>
          <w:szCs w:val="26"/>
        </w:rPr>
        <w:t>後均負</w:t>
      </w:r>
      <w:proofErr w:type="gramEnd"/>
      <w:r>
        <w:rPr>
          <w:rFonts w:ascii="Arial" w:eastAsia="標楷體" w:hAnsi="Arial" w:cs="Arial"/>
          <w:color w:val="000000"/>
          <w:szCs w:val="26"/>
        </w:rPr>
        <w:t>有不得對第三者洩露與甲方業務或技術有關之機密資料之義務。</w:t>
      </w:r>
      <w:proofErr w:type="gramStart"/>
      <w:r>
        <w:rPr>
          <w:rFonts w:ascii="Arial" w:eastAsia="標楷體" w:hAnsi="Arial" w:cs="Arial"/>
          <w:color w:val="000000"/>
          <w:szCs w:val="26"/>
        </w:rPr>
        <w:t>另就乙方</w:t>
      </w:r>
      <w:proofErr w:type="gramEnd"/>
      <w:r>
        <w:rPr>
          <w:rFonts w:ascii="Arial" w:eastAsia="標楷體" w:hAnsi="Arial" w:cs="Arial"/>
          <w:color w:val="000000"/>
          <w:szCs w:val="26"/>
        </w:rPr>
        <w:t>受僱員工於執行職務過程中獲知</w:t>
      </w:r>
      <w:proofErr w:type="gramStart"/>
      <w:r>
        <w:rPr>
          <w:rFonts w:ascii="Arial" w:eastAsia="標楷體" w:hAnsi="Arial" w:cs="Arial"/>
          <w:color w:val="000000"/>
          <w:szCs w:val="26"/>
        </w:rPr>
        <w:t>前開應保</w:t>
      </w:r>
      <w:proofErr w:type="gramEnd"/>
      <w:r>
        <w:rPr>
          <w:rFonts w:ascii="Arial" w:eastAsia="標楷體" w:hAnsi="Arial" w:cs="Arial"/>
          <w:color w:val="000000"/>
          <w:szCs w:val="26"/>
        </w:rPr>
        <w:t>密之資訊而向第三者洩露或合約規範以外之使用拷貝或修改之情形，即令非來自乙方之指示，或乙方不知情，仍應由乙方與該行為人連帶負損害賠償責任，</w:t>
      </w:r>
      <w:proofErr w:type="gramStart"/>
      <w:r>
        <w:rPr>
          <w:rFonts w:ascii="Arial" w:eastAsia="標楷體" w:hAnsi="Arial" w:cs="Arial"/>
          <w:color w:val="000000"/>
          <w:szCs w:val="26"/>
        </w:rPr>
        <w:t>且乙</w:t>
      </w:r>
      <w:proofErr w:type="gramEnd"/>
      <w:r>
        <w:rPr>
          <w:rFonts w:ascii="Arial" w:eastAsia="標楷體" w:hAnsi="Arial" w:cs="Arial"/>
          <w:color w:val="000000"/>
          <w:szCs w:val="26"/>
        </w:rPr>
        <w:t>方須對此立即採取糾正措施以為補救。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八、乙方違反本合約所定</w:t>
      </w:r>
      <w:r>
        <w:rPr>
          <w:rFonts w:ascii="Arial" w:eastAsia="標楷體" w:hAnsi="Arial" w:cs="Arial"/>
          <w:szCs w:val="26"/>
        </w:rPr>
        <w:t>事項，除依其情形應負刑事責任外，對於甲方因而所致之一切損失，</w:t>
      </w:r>
      <w:proofErr w:type="gramStart"/>
      <w:r>
        <w:rPr>
          <w:rFonts w:ascii="Arial" w:eastAsia="標楷體" w:hAnsi="Arial" w:cs="Arial"/>
          <w:szCs w:val="26"/>
        </w:rPr>
        <w:t>均應依</w:t>
      </w:r>
      <w:proofErr w:type="gramEnd"/>
      <w:r>
        <w:rPr>
          <w:rFonts w:ascii="Arial" w:eastAsia="標楷體" w:hAnsi="Arial" w:cs="Arial"/>
          <w:szCs w:val="26"/>
        </w:rPr>
        <w:t>實際損失情形負起全部之損害賠償責任。</w:t>
      </w:r>
    </w:p>
    <w:p w:rsidR="009E1789" w:rsidRPr="00A721AD" w:rsidRDefault="009E1789" w:rsidP="009C5E3B">
      <w:pPr>
        <w:snapToGrid w:val="0"/>
        <w:jc w:val="both"/>
        <w:rPr>
          <w:sz w:val="36"/>
        </w:rPr>
      </w:pPr>
    </w:p>
    <w:p w:rsidR="009E1789" w:rsidRDefault="009E1789" w:rsidP="009C5E3B">
      <w:pPr>
        <w:autoSpaceDE w:val="0"/>
        <w:autoSpaceDN w:val="0"/>
        <w:spacing w:line="400" w:lineRule="exact"/>
        <w:ind w:left="2160" w:right="-40" w:hanging="2160"/>
        <w:rPr>
          <w:rFonts w:ascii="標楷體" w:eastAsia="標楷體"/>
          <w:sz w:val="28"/>
        </w:rPr>
        <w:sectPr w:rsidR="009E1789" w:rsidSect="009E1789">
          <w:footerReference w:type="even" r:id="rId7"/>
          <w:footerReference w:type="default" r:id="rId8"/>
          <w:pgSz w:w="11906" w:h="16838"/>
          <w:pgMar w:top="993" w:right="964" w:bottom="993" w:left="1797" w:header="851" w:footer="363" w:gutter="0"/>
          <w:pgNumType w:start="1"/>
          <w:cols w:space="425"/>
          <w:docGrid w:type="lines" w:linePitch="360"/>
        </w:sectPr>
      </w:pPr>
    </w:p>
    <w:p w:rsidR="009E1789" w:rsidRPr="009C5E3B" w:rsidRDefault="009E1789" w:rsidP="009C5E3B">
      <w:pPr>
        <w:autoSpaceDE w:val="0"/>
        <w:autoSpaceDN w:val="0"/>
        <w:spacing w:line="400" w:lineRule="exact"/>
        <w:ind w:left="2160" w:right="-40" w:hanging="2160"/>
        <w:rPr>
          <w:rFonts w:ascii="標楷體" w:eastAsia="標楷體"/>
          <w:sz w:val="28"/>
        </w:rPr>
      </w:pPr>
    </w:p>
    <w:sectPr w:rsidR="009E1789" w:rsidRPr="009C5E3B" w:rsidSect="009E1789">
      <w:footerReference w:type="even" r:id="rId9"/>
      <w:footerReference w:type="default" r:id="rId10"/>
      <w:type w:val="continuous"/>
      <w:pgSz w:w="11906" w:h="16838"/>
      <w:pgMar w:top="993" w:right="964" w:bottom="993" w:left="1797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DD" w:rsidRDefault="007A51DD">
      <w:r>
        <w:separator/>
      </w:r>
    </w:p>
  </w:endnote>
  <w:endnote w:type="continuationSeparator" w:id="0">
    <w:p w:rsidR="007A51DD" w:rsidRDefault="007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2109A8t00CID-WinCharSetFFF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89" w:rsidRDefault="009E1789" w:rsidP="001B1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E1789" w:rsidRDefault="009E1789" w:rsidP="00D83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89" w:rsidRDefault="009E1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F05EE">
      <w:rPr>
        <w:noProof/>
        <w:lang w:val="zh-TW"/>
      </w:rPr>
      <w:t>6</w:t>
    </w:r>
    <w:r>
      <w:fldChar w:fldCharType="end"/>
    </w:r>
  </w:p>
  <w:p w:rsidR="009E1789" w:rsidRDefault="009E1789" w:rsidP="00D83E3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B1" w:rsidRDefault="007620B1" w:rsidP="001B1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0B1" w:rsidRDefault="007620B1" w:rsidP="00D83E3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B1" w:rsidRDefault="007620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F05EE">
      <w:rPr>
        <w:noProof/>
        <w:lang w:val="zh-TW"/>
      </w:rPr>
      <w:t>6</w:t>
    </w:r>
    <w:r>
      <w:fldChar w:fldCharType="end"/>
    </w:r>
  </w:p>
  <w:p w:rsidR="007620B1" w:rsidRDefault="007620B1" w:rsidP="00D83E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DD" w:rsidRDefault="007A51DD">
      <w:r>
        <w:separator/>
      </w:r>
    </w:p>
  </w:footnote>
  <w:footnote w:type="continuationSeparator" w:id="0">
    <w:p w:rsidR="007A51DD" w:rsidRDefault="007A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9A09BE"/>
    <w:multiLevelType w:val="hybridMultilevel"/>
    <w:tmpl w:val="2392FFF6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26BC46A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07E926EC"/>
    <w:multiLevelType w:val="hybridMultilevel"/>
    <w:tmpl w:val="3FA026A6"/>
    <w:lvl w:ilvl="0" w:tplc="85521F12">
      <w:start w:val="1"/>
      <w:numFmt w:val="taiwaneseCountingThousand"/>
      <w:lvlText w:val="%1、"/>
      <w:lvlJc w:val="left"/>
      <w:pPr>
        <w:tabs>
          <w:tab w:val="num" w:pos="1245"/>
        </w:tabs>
        <w:ind w:left="1245" w:hanging="7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1">
    <w:nsid w:val="0D6F1159"/>
    <w:multiLevelType w:val="hybridMultilevel"/>
    <w:tmpl w:val="8904F352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0F1A7E14"/>
    <w:multiLevelType w:val="hybridMultilevel"/>
    <w:tmpl w:val="86F04D3A"/>
    <w:lvl w:ilvl="0" w:tplc="A45E45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1">
    <w:nsid w:val="24660843"/>
    <w:multiLevelType w:val="hybridMultilevel"/>
    <w:tmpl w:val="BB089BC2"/>
    <w:lvl w:ilvl="0" w:tplc="48205636">
      <w:start w:val="10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F5AC6A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1">
    <w:nsid w:val="2BA93951"/>
    <w:multiLevelType w:val="hybridMultilevel"/>
    <w:tmpl w:val="2EB2E422"/>
    <w:lvl w:ilvl="0" w:tplc="3BB4C208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379F1BB0"/>
    <w:multiLevelType w:val="multilevel"/>
    <w:tmpl w:val="E324679E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1">
    <w:nsid w:val="45ED4A47"/>
    <w:multiLevelType w:val="hybridMultilevel"/>
    <w:tmpl w:val="AA3A2234"/>
    <w:lvl w:ilvl="0" w:tplc="B4D625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1">
    <w:nsid w:val="49F21BB8"/>
    <w:multiLevelType w:val="hybridMultilevel"/>
    <w:tmpl w:val="2BFA5D64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1">
    <w:nsid w:val="4DB2725F"/>
    <w:multiLevelType w:val="hybridMultilevel"/>
    <w:tmpl w:val="BD9A347E"/>
    <w:lvl w:ilvl="0" w:tplc="DE38973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072FEE0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1">
    <w:nsid w:val="4FE43325"/>
    <w:multiLevelType w:val="multilevel"/>
    <w:tmpl w:val="978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55D05C50"/>
    <w:multiLevelType w:val="hybridMultilevel"/>
    <w:tmpl w:val="A1C6A000"/>
    <w:lvl w:ilvl="0" w:tplc="5B58D22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1">
    <w:nsid w:val="56997802"/>
    <w:multiLevelType w:val="hybridMultilevel"/>
    <w:tmpl w:val="46B27928"/>
    <w:lvl w:ilvl="0" w:tplc="3B3E0B2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1">
    <w:nsid w:val="5AA12EE2"/>
    <w:multiLevelType w:val="hybridMultilevel"/>
    <w:tmpl w:val="348E7294"/>
    <w:lvl w:ilvl="0" w:tplc="37E0F284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eastAsia"/>
        <w:lang w:val="en-US"/>
      </w:rPr>
    </w:lvl>
    <w:lvl w:ilvl="1" w:tplc="BA1A134A">
      <w:start w:val="1"/>
      <w:numFmt w:val="taiwaneseCountingThousand"/>
      <w:lvlText w:val="%2、"/>
      <w:lvlJc w:val="left"/>
      <w:pPr>
        <w:tabs>
          <w:tab w:val="num" w:pos="1245"/>
        </w:tabs>
        <w:ind w:left="1245" w:hanging="765"/>
      </w:pPr>
      <w:rPr>
        <w:rFonts w:hint="eastAsia"/>
      </w:rPr>
    </w:lvl>
    <w:lvl w:ilvl="2" w:tplc="C1AEBA82">
      <w:start w:val="6"/>
      <w:numFmt w:val="decimal"/>
      <w:lvlText w:val="%3."/>
      <w:lvlJc w:val="left"/>
      <w:pPr>
        <w:tabs>
          <w:tab w:val="num" w:pos="1410"/>
        </w:tabs>
        <w:ind w:left="1410" w:hanging="45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1">
    <w:nsid w:val="602D6E18"/>
    <w:multiLevelType w:val="hybridMultilevel"/>
    <w:tmpl w:val="5AB06F7E"/>
    <w:lvl w:ilvl="0" w:tplc="5600C314">
      <w:start w:val="5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5" w15:restartNumberingAfterBreak="1">
    <w:nsid w:val="60E91C12"/>
    <w:multiLevelType w:val="hybridMultilevel"/>
    <w:tmpl w:val="6DBE80D8"/>
    <w:lvl w:ilvl="0" w:tplc="9DAC7C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8EE9F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2AB0F40"/>
    <w:multiLevelType w:val="hybridMultilevel"/>
    <w:tmpl w:val="8904F352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1">
    <w:nsid w:val="797250DF"/>
    <w:multiLevelType w:val="hybridMultilevel"/>
    <w:tmpl w:val="F2F8A79A"/>
    <w:lvl w:ilvl="0" w:tplc="3D6849A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Ansi="標楷體" w:cs="新細明體" w:hint="default"/>
      </w:rPr>
    </w:lvl>
    <w:lvl w:ilvl="1" w:tplc="29D660AC">
      <w:start w:val="1"/>
      <w:numFmt w:val="decimal"/>
      <w:lvlText w:val="(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0"/>
        </w:tabs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0"/>
        </w:tabs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0"/>
        </w:tabs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80"/>
      </w:pPr>
    </w:lvl>
  </w:abstractNum>
  <w:abstractNum w:abstractNumId="18" w15:restartNumberingAfterBreak="1">
    <w:nsid w:val="7A5A1874"/>
    <w:multiLevelType w:val="hybridMultilevel"/>
    <w:tmpl w:val="C5C2361E"/>
    <w:lvl w:ilvl="0" w:tplc="B0369634">
      <w:start w:val="1"/>
      <w:numFmt w:val="taiwaneseCountingThousand"/>
      <w:lvlText w:val="第%1條、"/>
      <w:lvlJc w:val="center"/>
      <w:pPr>
        <w:tabs>
          <w:tab w:val="num" w:pos="1080"/>
        </w:tabs>
        <w:ind w:left="1080" w:hanging="792"/>
      </w:pPr>
      <w:rPr>
        <w:rFonts w:ascii="新細明體" w:eastAsia="新細明體" w:hAnsi="新細明體" w:hint="eastAsia"/>
        <w:b w:val="0"/>
        <w:i w:val="0"/>
        <w:sz w:val="22"/>
        <w:u w:val="none"/>
        <w:em w:val="none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1">
    <w:nsid w:val="7D4D46BF"/>
    <w:multiLevelType w:val="singleLevel"/>
    <w:tmpl w:val="AC50FC2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20" w15:restartNumberingAfterBreak="1">
    <w:nsid w:val="7EA133E1"/>
    <w:multiLevelType w:val="hybridMultilevel"/>
    <w:tmpl w:val="04C2D0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0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19"/>
  </w:num>
  <w:num w:numId="18">
    <w:abstractNumId w:val="8"/>
  </w:num>
  <w:num w:numId="19">
    <w:abstractNumId w:val="17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A4"/>
    <w:rsid w:val="00001F22"/>
    <w:rsid w:val="00005F76"/>
    <w:rsid w:val="0002440E"/>
    <w:rsid w:val="0004547D"/>
    <w:rsid w:val="00046635"/>
    <w:rsid w:val="000579FE"/>
    <w:rsid w:val="00084961"/>
    <w:rsid w:val="00094D1C"/>
    <w:rsid w:val="000A3B26"/>
    <w:rsid w:val="000C2560"/>
    <w:rsid w:val="000D3821"/>
    <w:rsid w:val="000E12B1"/>
    <w:rsid w:val="000E778F"/>
    <w:rsid w:val="000F3C35"/>
    <w:rsid w:val="00116631"/>
    <w:rsid w:val="00131BF9"/>
    <w:rsid w:val="001677B0"/>
    <w:rsid w:val="00173846"/>
    <w:rsid w:val="001A4C95"/>
    <w:rsid w:val="001B15A8"/>
    <w:rsid w:val="001C35A1"/>
    <w:rsid w:val="001F2918"/>
    <w:rsid w:val="002351FE"/>
    <w:rsid w:val="00242B84"/>
    <w:rsid w:val="00267569"/>
    <w:rsid w:val="0027606E"/>
    <w:rsid w:val="002C3A54"/>
    <w:rsid w:val="002D0572"/>
    <w:rsid w:val="002E4612"/>
    <w:rsid w:val="002F5B44"/>
    <w:rsid w:val="002F5FCD"/>
    <w:rsid w:val="00304424"/>
    <w:rsid w:val="00325615"/>
    <w:rsid w:val="00337749"/>
    <w:rsid w:val="00343C67"/>
    <w:rsid w:val="0034694F"/>
    <w:rsid w:val="003475CC"/>
    <w:rsid w:val="00351827"/>
    <w:rsid w:val="00354B50"/>
    <w:rsid w:val="00371A80"/>
    <w:rsid w:val="0038150D"/>
    <w:rsid w:val="003815BB"/>
    <w:rsid w:val="00387268"/>
    <w:rsid w:val="003B1EAF"/>
    <w:rsid w:val="003D410F"/>
    <w:rsid w:val="003E3B34"/>
    <w:rsid w:val="004017AD"/>
    <w:rsid w:val="00402C8E"/>
    <w:rsid w:val="00432A8D"/>
    <w:rsid w:val="00454C92"/>
    <w:rsid w:val="00455B23"/>
    <w:rsid w:val="004D0CBE"/>
    <w:rsid w:val="004D2A1D"/>
    <w:rsid w:val="004F6A02"/>
    <w:rsid w:val="00535868"/>
    <w:rsid w:val="00537F85"/>
    <w:rsid w:val="00557EAB"/>
    <w:rsid w:val="00562715"/>
    <w:rsid w:val="005704EA"/>
    <w:rsid w:val="005C4BA6"/>
    <w:rsid w:val="005C7096"/>
    <w:rsid w:val="005D389E"/>
    <w:rsid w:val="005E2638"/>
    <w:rsid w:val="00615D4A"/>
    <w:rsid w:val="00691F4E"/>
    <w:rsid w:val="006C5959"/>
    <w:rsid w:val="006E17FB"/>
    <w:rsid w:val="006F3CE7"/>
    <w:rsid w:val="00703F0B"/>
    <w:rsid w:val="00731BC4"/>
    <w:rsid w:val="00745CC1"/>
    <w:rsid w:val="007470BF"/>
    <w:rsid w:val="00752B15"/>
    <w:rsid w:val="007551DA"/>
    <w:rsid w:val="007620B1"/>
    <w:rsid w:val="00763613"/>
    <w:rsid w:val="007821AE"/>
    <w:rsid w:val="00784EC8"/>
    <w:rsid w:val="0079716F"/>
    <w:rsid w:val="007A51DD"/>
    <w:rsid w:val="007D536A"/>
    <w:rsid w:val="007D630D"/>
    <w:rsid w:val="0080290D"/>
    <w:rsid w:val="00824B57"/>
    <w:rsid w:val="0083682F"/>
    <w:rsid w:val="0088454B"/>
    <w:rsid w:val="008A6BF5"/>
    <w:rsid w:val="008E5A04"/>
    <w:rsid w:val="008F62ED"/>
    <w:rsid w:val="0091005A"/>
    <w:rsid w:val="009248D9"/>
    <w:rsid w:val="00954EF1"/>
    <w:rsid w:val="00957DE3"/>
    <w:rsid w:val="00962E9A"/>
    <w:rsid w:val="00971BEF"/>
    <w:rsid w:val="009728A8"/>
    <w:rsid w:val="00974A73"/>
    <w:rsid w:val="0098331C"/>
    <w:rsid w:val="00986116"/>
    <w:rsid w:val="009B2C2C"/>
    <w:rsid w:val="009C5E3B"/>
    <w:rsid w:val="009E1789"/>
    <w:rsid w:val="00A2708B"/>
    <w:rsid w:val="00A30E85"/>
    <w:rsid w:val="00A46D8C"/>
    <w:rsid w:val="00A50E4F"/>
    <w:rsid w:val="00A73989"/>
    <w:rsid w:val="00A7405B"/>
    <w:rsid w:val="00A80E88"/>
    <w:rsid w:val="00AA5A14"/>
    <w:rsid w:val="00B05B2C"/>
    <w:rsid w:val="00B176B1"/>
    <w:rsid w:val="00B22EDB"/>
    <w:rsid w:val="00B2473A"/>
    <w:rsid w:val="00B24F20"/>
    <w:rsid w:val="00B4335C"/>
    <w:rsid w:val="00BB3998"/>
    <w:rsid w:val="00BC484A"/>
    <w:rsid w:val="00BC7356"/>
    <w:rsid w:val="00BF05EE"/>
    <w:rsid w:val="00C2411B"/>
    <w:rsid w:val="00C30A26"/>
    <w:rsid w:val="00C45A73"/>
    <w:rsid w:val="00C602E6"/>
    <w:rsid w:val="00C73DA5"/>
    <w:rsid w:val="00CA58CD"/>
    <w:rsid w:val="00D322BE"/>
    <w:rsid w:val="00D773A4"/>
    <w:rsid w:val="00D83E3E"/>
    <w:rsid w:val="00D967C6"/>
    <w:rsid w:val="00DA419B"/>
    <w:rsid w:val="00DC322F"/>
    <w:rsid w:val="00E04AC3"/>
    <w:rsid w:val="00E14FC4"/>
    <w:rsid w:val="00E3307C"/>
    <w:rsid w:val="00E34936"/>
    <w:rsid w:val="00E43B52"/>
    <w:rsid w:val="00E603AF"/>
    <w:rsid w:val="00E779C2"/>
    <w:rsid w:val="00E84C13"/>
    <w:rsid w:val="00E9649E"/>
    <w:rsid w:val="00EB43BA"/>
    <w:rsid w:val="00F025D9"/>
    <w:rsid w:val="00F079CD"/>
    <w:rsid w:val="00F27E76"/>
    <w:rsid w:val="00F33ED3"/>
    <w:rsid w:val="00F378DE"/>
    <w:rsid w:val="00F72AC8"/>
    <w:rsid w:val="00F96C5F"/>
    <w:rsid w:val="00FA50E1"/>
    <w:rsid w:val="00FE7E26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91D6C"/>
  <w15:chartTrackingRefBased/>
  <w15:docId w15:val="{AF2177FA-BC23-4227-87B9-A7C5B3B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21" w:left="-563" w:hanging="1"/>
    </w:pPr>
    <w:rPr>
      <w:rFonts w:eastAsia="標楷體"/>
    </w:rPr>
  </w:style>
  <w:style w:type="paragraph" w:styleId="30">
    <w:name w:val="Body Text Indent 3"/>
    <w:basedOn w:val="a"/>
    <w:pPr>
      <w:ind w:leftChars="200" w:left="960" w:hangingChars="200" w:hanging="480"/>
    </w:pPr>
    <w:rPr>
      <w:rFonts w:ascii="標楷體" w:eastAsia="標楷體" w:hAnsi="標楷體"/>
      <w:b/>
      <w:bCs/>
    </w:rPr>
  </w:style>
  <w:style w:type="paragraph" w:styleId="a4">
    <w:name w:val="Date"/>
    <w:basedOn w:val="a"/>
    <w:next w:val="a"/>
    <w:pPr>
      <w:jc w:val="right"/>
    </w:pPr>
    <w:rPr>
      <w:rFonts w:eastAsia="標楷體"/>
      <w:sz w:val="32"/>
    </w:rPr>
  </w:style>
  <w:style w:type="paragraph" w:styleId="a5">
    <w:name w:val="footer"/>
    <w:basedOn w:val="a"/>
    <w:link w:val="a6"/>
    <w:uiPriority w:val="99"/>
    <w:rsid w:val="00D8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83E3E"/>
  </w:style>
  <w:style w:type="paragraph" w:styleId="a8">
    <w:name w:val="Salutation"/>
    <w:basedOn w:val="a"/>
    <w:next w:val="a"/>
    <w:rsid w:val="009728A8"/>
    <w:rPr>
      <w:rFonts w:ascii="標楷體" w:eastAsia="標楷體"/>
      <w:color w:val="000000"/>
      <w:sz w:val="28"/>
    </w:rPr>
  </w:style>
  <w:style w:type="paragraph" w:styleId="a9">
    <w:name w:val="Closing"/>
    <w:basedOn w:val="a"/>
    <w:rsid w:val="009728A8"/>
    <w:pPr>
      <w:ind w:leftChars="1800" w:left="100"/>
    </w:pPr>
    <w:rPr>
      <w:rFonts w:ascii="標楷體" w:eastAsia="標楷體"/>
      <w:color w:val="000000"/>
      <w:sz w:val="28"/>
    </w:rPr>
  </w:style>
  <w:style w:type="paragraph" w:styleId="aa">
    <w:name w:val="header"/>
    <w:basedOn w:val="a"/>
    <w:link w:val="ab"/>
    <w:rsid w:val="0045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55B23"/>
    <w:rPr>
      <w:kern w:val="2"/>
    </w:rPr>
  </w:style>
  <w:style w:type="character" w:styleId="ac">
    <w:name w:val="Hyperlink"/>
    <w:rsid w:val="00B4335C"/>
    <w:rPr>
      <w:color w:val="0000FF"/>
      <w:u w:val="single"/>
    </w:rPr>
  </w:style>
  <w:style w:type="character" w:customStyle="1" w:styleId="style31">
    <w:name w:val="style31"/>
    <w:rsid w:val="009C5E3B"/>
    <w:rPr>
      <w:b/>
      <w:bCs/>
      <w:color w:val="FFCC00"/>
    </w:rPr>
  </w:style>
  <w:style w:type="paragraph" w:styleId="ad">
    <w:name w:val="Block Text"/>
    <w:basedOn w:val="a"/>
    <w:rsid w:val="009C5E3B"/>
    <w:pPr>
      <w:widowControl/>
      <w:snapToGrid w:val="0"/>
      <w:spacing w:line="360" w:lineRule="auto"/>
      <w:ind w:left="480" w:rightChars="677" w:right="1625" w:hanging="480"/>
      <w:jc w:val="both"/>
    </w:pPr>
    <w:rPr>
      <w:rFonts w:ascii="Arial" w:eastAsia="標楷體" w:hAnsi="Arial" w:cs="Arial"/>
      <w:kern w:val="0"/>
      <w:szCs w:val="26"/>
    </w:rPr>
  </w:style>
  <w:style w:type="character" w:customStyle="1" w:styleId="a6">
    <w:name w:val="頁尾 字元"/>
    <w:link w:val="a5"/>
    <w:uiPriority w:val="99"/>
    <w:rsid w:val="009C5E3B"/>
    <w:rPr>
      <w:kern w:val="2"/>
    </w:rPr>
  </w:style>
  <w:style w:type="paragraph" w:styleId="ae">
    <w:name w:val="Balloon Text"/>
    <w:basedOn w:val="a"/>
    <w:link w:val="af"/>
    <w:rsid w:val="0079716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9716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98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經銷合約書</dc:title>
  <dc:subject/>
  <dc:creator>user1</dc:creator>
  <cp:keywords/>
  <cp:lastModifiedBy>FGU</cp:lastModifiedBy>
  <cp:revision>2</cp:revision>
  <cp:lastPrinted>2016-10-06T02:55:00Z</cp:lastPrinted>
  <dcterms:created xsi:type="dcterms:W3CDTF">2021-11-05T05:24:00Z</dcterms:created>
  <dcterms:modified xsi:type="dcterms:W3CDTF">2021-11-05T05:24:00Z</dcterms:modified>
</cp:coreProperties>
</file>